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80" w:rsidRDefault="00C92477">
      <w:pPr>
        <w:pStyle w:val="a5"/>
        <w:widowControl/>
        <w:spacing w:beforeAutospacing="0" w:afterAutospacing="0" w:line="630" w:lineRule="atLeast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附件二</w:t>
      </w:r>
    </w:p>
    <w:p w:rsidR="00F54280" w:rsidRDefault="00C92477">
      <w:pPr>
        <w:pStyle w:val="a5"/>
        <w:widowControl/>
        <w:spacing w:beforeAutospacing="0" w:afterAutospacing="0"/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水产养殖环境监控系统配置</w:t>
      </w:r>
      <w:bookmarkEnd w:id="0"/>
    </w:p>
    <w:tbl>
      <w:tblPr>
        <w:tblpPr w:leftFromText="180" w:rightFromText="180" w:vertAnchor="text" w:horzAnchor="page" w:tblpX="1383" w:tblpY="518"/>
        <w:tblOverlap w:val="never"/>
        <w:tblW w:w="14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000"/>
        <w:gridCol w:w="8485"/>
        <w:gridCol w:w="1455"/>
        <w:gridCol w:w="1560"/>
      </w:tblGrid>
      <w:tr w:rsidR="00F54280">
        <w:trPr>
          <w:trHeight w:val="3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配置名称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技术参数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数量（台/套）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智能高速球机摄像机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日夜型红外一体化智能高速球形摄像机，内置摄像机，清晰度为≥1000TVL，最低照度彩色为0.05Lux/F1.6-0Lux双滤光片切换日夜转换功能，红外距离150米，内置20倍光学变焦镜头（4.7～94mm），16倍电子放大功能，自动光圈,水产养殖环境监控系统可接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“智慧农业云平台”</w:t>
            </w:r>
            <w:r>
              <w:rPr>
                <w:rFonts w:ascii="宋体" w:hAnsi="宋体" w:hint="eastAsia"/>
                <w:sz w:val="18"/>
                <w:szCs w:val="18"/>
              </w:rPr>
              <w:t>，支持视频、图像网络传输，指定IP地址。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DS-2DC6420IW-A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存储硬盘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希捷8TB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280" w:rsidRDefault="00C924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硬盘录相机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全适时D1， 支持500W像素高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清网络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视频的预览、存储与回放；支持IPC集中管理，包括IPC参数配置、信息的导入/导出、语音对讲和升级等功能； 支持HDMI与VGA同时输出，输出分辨率最高均可达1920x1080p；全新的UI操作界面，支持一键开启录像功能；支持即时回放功能，在预览画面下对指定通道的当前录像进行回放，并且不影响其他通道预览；支持最大4路4CIF实时同步回放及多路同步倒放； 支持ATA接口， 可选支持1个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eSATA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盘库，用于录像和备份；双千兆网卡，支持网络容错以及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双网络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IP设定等应用；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SD-7008/8S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核心交换机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1724G，8口百兆交换机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0" w:rsidRDefault="00C924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TP-LINK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监控专用机柜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530*400*300mm；6U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0" w:rsidRDefault="00C924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24V摄像机电源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小耳朵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54280">
        <w:trPr>
          <w:trHeight w:val="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显示器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0" w:rsidRDefault="00C92477"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21寸液晶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80" w:rsidRDefault="00C9247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电源线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国标RVV2*1.0，国标无氧铜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龙晓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400m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spacing w:line="360" w:lineRule="auto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网络线缆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spacing w:before="60" w:after="60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室外防水超五类网线，国标无氧铜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安普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400m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PVC管及接头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国标G25  20#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防水箱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CCTV专用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防雷插座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监控专用防雷插座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无线AP收发器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高通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Atheros 9344芯片 300Mbps传输速率吧 5.8G单频 8M闪存 64M内存 533MHz主频 功率500mW 实测5公里传输距离 1080P监控视频不掉帧  采用双极化15DBi天线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标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配24V POE电源 支持9-12V DC直流电源供电 POE或者DC供电功率10W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乐光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spacing w:line="360" w:lineRule="auto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立杆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spacing w:before="60" w:after="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定制，防锈管材。地面立杆高度4米，悬臂长度0.25米，热镀锌防腐处理。壁厚≥2mm，下杆立杆直径140mm上杆直径76MM，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模杆底板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宽240mm、长240mm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54280">
        <w:trPr>
          <w:trHeight w:val="4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混凝土基础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spacing w:before="60" w:after="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基础混凝土强度≥C25，基础尺寸为长度≥0.25米、宽度≥0.25米、深度≥0.6米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F5428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54280">
        <w:trPr>
          <w:trHeight w:val="4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预埋件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spacing w:before="60" w:after="6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与立杆基础配合使用，高50mm钢筋规格M12A含螺母垫片。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F5428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54280">
        <w:trPr>
          <w:trHeight w:val="3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辅材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横杆支架、扎带、抱箍等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F5428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280" w:rsidRDefault="00C924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F54280" w:rsidRDefault="00F54280">
      <w:pPr>
        <w:pStyle w:val="a5"/>
        <w:widowControl/>
        <w:spacing w:beforeAutospacing="0" w:afterAutospacing="0" w:line="630" w:lineRule="atLeast"/>
        <w:jc w:val="both"/>
        <w:rPr>
          <w:rFonts w:ascii="仿宋_GB2312" w:eastAsia="仿宋_GB2312" w:cs="仿宋_GB2312"/>
          <w:color w:val="000000"/>
          <w:sz w:val="31"/>
          <w:szCs w:val="31"/>
        </w:rPr>
      </w:pPr>
    </w:p>
    <w:p w:rsidR="00F54280" w:rsidRDefault="00F54280">
      <w:pPr>
        <w:pStyle w:val="a5"/>
        <w:widowControl/>
        <w:spacing w:beforeAutospacing="0" w:afterAutospacing="0" w:line="630" w:lineRule="atLeast"/>
        <w:jc w:val="both"/>
        <w:rPr>
          <w:rFonts w:ascii="仿宋_GB2312" w:eastAsia="仿宋_GB2312" w:cs="仿宋_GB2312"/>
          <w:color w:val="000000"/>
          <w:sz w:val="31"/>
          <w:szCs w:val="31"/>
        </w:rPr>
      </w:pPr>
    </w:p>
    <w:sectPr w:rsidR="00F5428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885580"/>
    <w:multiLevelType w:val="singleLevel"/>
    <w:tmpl w:val="9088558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eastAsia"/>
        <w:spacing w:val="0"/>
        <w:position w:val="0"/>
      </w:r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360"/>
      </w:pPr>
      <w:rPr>
        <w:rFonts w:hint="eastAsia"/>
        <w:spacing w:val="0"/>
        <w:position w:val="0"/>
      </w:rPr>
    </w:lvl>
    <w:lvl w:ilvl="3">
      <w:start w:val="1"/>
      <w:numFmt w:val="decimal"/>
      <w:pStyle w:val="4"/>
      <w:lvlText w:val="%1.%2.%3.%4."/>
      <w:lvlJc w:val="left"/>
      <w:pPr>
        <w:tabs>
          <w:tab w:val="left" w:pos="1440"/>
        </w:tabs>
        <w:ind w:left="1440" w:hanging="360"/>
      </w:pPr>
      <w:rPr>
        <w:rFonts w:hint="eastAsia"/>
        <w:spacing w:val="0"/>
        <w:position w:val="0"/>
      </w:rPr>
    </w:lvl>
    <w:lvl w:ilvl="4">
      <w:start w:val="1"/>
      <w:numFmt w:val="decimal"/>
      <w:lvlText w:val="%1.%2.%3.%4.%5."/>
      <w:lvlJc w:val="left"/>
      <w:pPr>
        <w:tabs>
          <w:tab w:val="left" w:pos="1800"/>
        </w:tabs>
        <w:ind w:left="1800" w:hanging="360"/>
      </w:pPr>
      <w:rPr>
        <w:rFonts w:hint="eastAsia"/>
        <w:spacing w:val="0"/>
        <w:position w:val="0"/>
      </w:rPr>
    </w:lvl>
    <w:lvl w:ilvl="5">
      <w:start w:val="1"/>
      <w:numFmt w:val="decimal"/>
      <w:lvlText w:val="%1.%2.%3.%4.%5.%6."/>
      <w:lvlJc w:val="left"/>
      <w:pPr>
        <w:tabs>
          <w:tab w:val="left" w:pos="2160"/>
        </w:tabs>
        <w:ind w:left="2160" w:hanging="360"/>
      </w:pPr>
      <w:rPr>
        <w:rFonts w:hint="eastAsia"/>
        <w:spacing w:val="0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left" w:pos="2520"/>
        </w:tabs>
        <w:ind w:left="2520" w:hanging="360"/>
      </w:pPr>
      <w:rPr>
        <w:rFonts w:hint="eastAsia"/>
        <w:spacing w:val="0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left" w:pos="2880"/>
        </w:tabs>
        <w:ind w:left="2880" w:hanging="360"/>
      </w:pPr>
      <w:rPr>
        <w:rFonts w:hint="eastAsia"/>
        <w:spacing w:val="0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left" w:pos="3240"/>
        </w:tabs>
        <w:ind w:left="3240" w:hanging="360"/>
      </w:pPr>
      <w:rPr>
        <w:rFonts w:hint="eastAsia"/>
        <w:spacing w:val="0"/>
        <w:position w:val="0"/>
      </w:rPr>
    </w:lvl>
  </w:abstractNum>
  <w:abstractNum w:abstractNumId="2" w15:restartNumberingAfterBreak="0">
    <w:nsid w:val="4B52F14C"/>
    <w:multiLevelType w:val="singleLevel"/>
    <w:tmpl w:val="4B52F14C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D60901"/>
    <w:rsid w:val="00C92477"/>
    <w:rsid w:val="00CF1CF3"/>
    <w:rsid w:val="00F54280"/>
    <w:rsid w:val="10383218"/>
    <w:rsid w:val="14DB3641"/>
    <w:rsid w:val="59D60901"/>
    <w:rsid w:val="6C951FA7"/>
    <w:rsid w:val="7AC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72A06"/>
  <w15:docId w15:val="{ABF0AEDA-892B-4AE4-AFB5-F0F2258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qFormat/>
    <w:pPr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2">
    <w:name w:val="正文 首行缩进:  2 字符"/>
    <w:basedOn w:val="a"/>
    <w:qFormat/>
    <w:pPr>
      <w:spacing w:line="360" w:lineRule="auto"/>
      <w:ind w:firstLineChars="200" w:firstLine="200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</dc:creator>
  <cp:lastModifiedBy>pengjing</cp:lastModifiedBy>
  <cp:revision>5</cp:revision>
  <dcterms:created xsi:type="dcterms:W3CDTF">2019-12-02T07:52:00Z</dcterms:created>
  <dcterms:modified xsi:type="dcterms:W3CDTF">2019-12-20T02:54:00Z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